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1.png" ContentType="image/png"/>
  <Override PartName="/word/media/rId25.png" ContentType="image/png"/>
  <Override PartName="/word/media/rId29.png" ContentType="image/png"/>
  <Override PartName="/word/media/rId33.png" ContentType="image/png"/>
  <Override PartName="/word/media/rId37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11</w:t>
      </w:r>
      <w:r>
        <w:t xml:space="preserve"> </w:t>
      </w:r>
      <w:r>
        <w:t xml:space="preserve">·</w:t>
      </w:r>
      <w:r>
        <w:t xml:space="preserve"> </w:t>
      </w:r>
      <w:r>
        <w:t xml:space="preserve">Tables</w:t>
      </w:r>
    </w:p>
    <w:bookmarkStart w:id="42" w:name="tables"/>
    <w:p>
      <w:pPr>
        <w:pStyle w:val="Titre1"/>
      </w:pPr>
      <w:r>
        <w:t xml:space="preserve">11 · Tables</w:t>
      </w:r>
    </w:p>
    <w:bookmarkStart w:id="20" w:name="système-monétaire-et-prix-3a-1640"/>
    <w:p>
      <w:pPr>
        <w:pStyle w:val="Titre2"/>
      </w:pPr>
      <w:r>
        <w:t xml:space="preserve">Système monétaire et prix :</w:t>
      </w:r>
      <w:r>
        <w:t xml:space="preserve"> </w:t>
      </w:r>
      <w:r>
        <w:t xml:space="preserve">3A 1640</w:t>
      </w:r>
    </w:p>
    <w:p>
      <w:pPr>
        <w:pStyle w:val="FirstParagraph"/>
      </w:pPr>
      <w:r>
        <w:t xml:space="preserve">La monnaie du Gondor est basée sur la pièce d’argent, pesant 7 g ;</w:t>
      </w:r>
      <w:r>
        <w:t xml:space="preserve"> </w:t>
      </w:r>
      <w:r>
        <w:t xml:space="preserve">d’autres pièces ont aussi cours : la pièce d’étain (14 g), de cuivre (14</w:t>
      </w:r>
      <w:r>
        <w:t xml:space="preserve"> </w:t>
      </w:r>
      <w:r>
        <w:t xml:space="preserve">g), de bronze (7 g) et d’or (14 g). Les taux d’échange sont les suivants</w:t>
      </w:r>
      <w:r>
        <w:t xml:space="preserve"> </w:t>
      </w:r>
      <w:r>
        <w:t xml:space="preserve">:</w:t>
      </w:r>
    </w:p>
    <w:p>
      <w:pPr>
        <w:numPr>
          <w:ilvl w:val="0"/>
          <w:numId w:val="1001"/>
        </w:numPr>
        <w:pStyle w:val="Compact"/>
      </w:pPr>
      <w:r>
        <w:t xml:space="preserve">1 pièce d’or (po) = 20 pa</w:t>
      </w:r>
    </w:p>
    <w:p>
      <w:pPr>
        <w:numPr>
          <w:ilvl w:val="0"/>
          <w:numId w:val="1001"/>
        </w:numPr>
        <w:pStyle w:val="Compact"/>
      </w:pPr>
      <w:r>
        <w:t xml:space="preserve">1 pièce d’argent (pa) = 10 pb</w:t>
      </w:r>
    </w:p>
    <w:p>
      <w:pPr>
        <w:numPr>
          <w:ilvl w:val="0"/>
          <w:numId w:val="1001"/>
        </w:numPr>
        <w:pStyle w:val="Compact"/>
      </w:pPr>
      <w:r>
        <w:t xml:space="preserve">1 pièce de bronze (pb) = 5 pc</w:t>
      </w:r>
    </w:p>
    <w:p>
      <w:pPr>
        <w:numPr>
          <w:ilvl w:val="0"/>
          <w:numId w:val="1001"/>
        </w:numPr>
        <w:pStyle w:val="Compact"/>
      </w:pPr>
      <w:r>
        <w:t xml:space="preserve">1 pièce de cuivre (pc) = 10 pe</w:t>
      </w:r>
    </w:p>
    <w:p>
      <w:pPr>
        <w:pStyle w:val="FirstParagraph"/>
      </w:pPr>
      <w:r>
        <w:rPr>
          <w:bCs/>
          <w:b/>
        </w:rPr>
        <w:t xml:space="preserve">Le gîte et le couvert</w:t>
      </w:r>
      <w:r>
        <w:t xml:space="preserve"> </w:t>
      </w:r>
      <w:r>
        <w:t xml:space="preserve">: un bon logement et des</w:t>
      </w:r>
      <w:r>
        <w:t xml:space="preserve"> </w:t>
      </w:r>
      <w:r>
        <w:t xml:space="preserve">boissons alcoolisées coûtent le double du prix normal ; toutes les</w:t>
      </w:r>
      <w:r>
        <w:t xml:space="preserve"> </w:t>
      </w:r>
      <w:r>
        <w:t xml:space="preserve">rations coûtent moitié prix et les autres types de logement coûtent le</w:t>
      </w:r>
      <w:r>
        <w:t xml:space="preserve"> </w:t>
      </w:r>
      <w:r>
        <w:t xml:space="preserve">prix normal.</w:t>
      </w:r>
    </w:p>
    <w:p>
      <w:pPr>
        <w:pStyle w:val="Corpsdetexte"/>
      </w:pPr>
      <w:r>
        <w:rPr>
          <w:bCs/>
          <w:b/>
        </w:rPr>
        <w:t xml:space="preserve">Transport</w:t>
      </w:r>
      <w:r>
        <w:t xml:space="preserve"> </w:t>
      </w:r>
      <w:r>
        <w:t xml:space="preserve">: les petits bateaux, les chariots, les</w:t>
      </w:r>
      <w:r>
        <w:t xml:space="preserve"> </w:t>
      </w:r>
      <w:r>
        <w:t xml:space="preserve">mules, les poneys et les chevaux sont disponibles au prix normal. Le</w:t>
      </w:r>
      <w:r>
        <w:t xml:space="preserve"> </w:t>
      </w:r>
      <w:r>
        <w:t xml:space="preserve">prix du passage en bateau par passager est de 2 pa/jour ; la vitesse</w:t>
      </w:r>
      <w:r>
        <w:t xml:space="preserve"> </w:t>
      </w:r>
      <w:r>
        <w:t xml:space="preserve">moyenne en descendant le courant est de 11 km/h et de 8 km/h en le</w:t>
      </w:r>
      <w:r>
        <w:t xml:space="preserve"> </w:t>
      </w:r>
      <w:r>
        <w:t xml:space="preserve">remontant.</w:t>
      </w:r>
    </w:p>
    <w:p>
      <w:pPr>
        <w:pStyle w:val="Corpsdetexte"/>
      </w:pPr>
      <w:r>
        <w:rPr>
          <w:bCs/>
          <w:b/>
        </w:rPr>
        <w:t xml:space="preserve">Accessoires</w:t>
      </w:r>
      <w:r>
        <w:t xml:space="preserve"> </w:t>
      </w:r>
      <w:r>
        <w:t xml:space="preserve">: caltrops, ceinturon d’arme, corde,</w:t>
      </w:r>
      <w:r>
        <w:t xml:space="preserve"> </w:t>
      </w:r>
      <w:r>
        <w:t xml:space="preserve">flacon d’huile, fourreau, lanterne, matériel d’emballage, outils de</w:t>
      </w:r>
      <w:r>
        <w:t xml:space="preserve"> </w:t>
      </w:r>
      <w:r>
        <w:t xml:space="preserve">crochetage, pierre à feu et grattoir, sac à dos, sac de couchage, tente</w:t>
      </w:r>
      <w:r>
        <w:t xml:space="preserve"> </w:t>
      </w:r>
      <w:r>
        <w:t xml:space="preserve">et toile goudronnée coûtent 1,5 fois le prix normal. Les autres</w:t>
      </w:r>
      <w:r>
        <w:t xml:space="preserve"> </w:t>
      </w:r>
      <w:r>
        <w:t xml:space="preserve">accessoires coûtent le prix normal.</w:t>
      </w:r>
    </w:p>
    <w:p>
      <w:pPr>
        <w:pStyle w:val="Corpsdetexte"/>
      </w:pPr>
      <w:r>
        <w:rPr>
          <w:bCs/>
          <w:b/>
        </w:rPr>
        <w:t xml:space="preserve">Armes</w:t>
      </w:r>
      <w:r>
        <w:t xml:space="preserve"> </w:t>
      </w:r>
      <w:r>
        <w:t xml:space="preserve">: armes à lame = 2,5 fois le prix normal ;</w:t>
      </w:r>
      <w:r>
        <w:t xml:space="preserve"> </w:t>
      </w:r>
      <w:r>
        <w:t xml:space="preserve">autres armes = 1,5 fois le prix normal.</w:t>
      </w:r>
    </w:p>
    <w:p>
      <w:pPr>
        <w:pStyle w:val="Corpsdetexte"/>
      </w:pPr>
      <w:r>
        <w:rPr>
          <w:bCs/>
          <w:b/>
        </w:rPr>
        <w:t xml:space="preserve">Équipement de protection</w:t>
      </w:r>
      <w:r>
        <w:t xml:space="preserve"> </w:t>
      </w:r>
      <w:r>
        <w:t xml:space="preserve">: armures de cuir = 2 fois</w:t>
      </w:r>
      <w:r>
        <w:t xml:space="preserve"> </w:t>
      </w:r>
      <w:r>
        <w:t xml:space="preserve">le prix normal ; armures en métal = 4 fois le prix normal. Tous les</w:t>
      </w:r>
      <w:r>
        <w:t xml:space="preserve"> </w:t>
      </w:r>
      <w:r>
        <w:t xml:space="preserve">autres équipements de protection coûtent le prix normal.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les prix normaux sont indiqués dans la Table</w:t>
      </w:r>
      <w:r>
        <w:t xml:space="preserve"> </w:t>
      </w:r>
      <w:r>
        <w:t xml:space="preserve">TS-4 de JRTM. Si Rolemaster est utilisé, les marchandises nécessitant</w:t>
      </w:r>
      <w:r>
        <w:t xml:space="preserve"> </w:t>
      </w:r>
      <w:r>
        <w:t xml:space="preserve">une fabrication complexe coûtent 1,5 à 5 fois le prix normal.</w:t>
      </w:r>
    </w:p>
    <w:bookmarkEnd w:id="20"/>
    <w:bookmarkStart w:id="24" w:name="table-des-principales-créatures"/>
    <w:p>
      <w:pPr>
        <w:pStyle w:val="Titre2"/>
      </w:pPr>
      <w:r>
        <w:t xml:space="preserve">11.1 Table des principales</w:t>
      </w:r>
      <w:r>
        <w:t xml:space="preserve"> </w:t>
      </w:r>
      <w:r>
        <w:t xml:space="preserve">créatures</w:t>
      </w:r>
    </w:p>
    <w:p>
      <w:pPr>
        <w:pStyle w:val="Figure"/>
      </w:pPr>
      <w:r>
        <w:drawing>
          <wp:inline>
            <wp:extent cx="5943600" cy="5795010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images/page-37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9501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4"/>
    <w:bookmarkStart w:id="28" w:name="table-des-principales-troupes"/>
    <w:p>
      <w:pPr>
        <w:pStyle w:val="Titre2"/>
      </w:pPr>
      <w:r>
        <w:t xml:space="preserve">11.2 Table des principales</w:t>
      </w:r>
      <w:r>
        <w:t xml:space="preserve"> </w:t>
      </w:r>
      <w:r>
        <w:t xml:space="preserve">troupes</w:t>
      </w:r>
    </w:p>
    <w:p>
      <w:pPr>
        <w:pStyle w:val="Figure"/>
      </w:pPr>
      <w:r>
        <w:drawing>
          <wp:inline>
            <wp:extent cx="5943600" cy="8444865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images/page-38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4486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8"/>
    <w:bookmarkStart w:id="32" w:name="table-des-principaux-pnj"/>
    <w:p>
      <w:pPr>
        <w:pStyle w:val="Titre2"/>
      </w:pPr>
      <w:r>
        <w:t xml:space="preserve">11.3 Table des principaux PNJ</w:t>
      </w:r>
    </w:p>
    <w:p>
      <w:pPr>
        <w:pStyle w:val="Figure"/>
      </w:pPr>
      <w:r>
        <w:drawing>
          <wp:inline>
            <wp:extent cx="5943600" cy="8534019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images/page-39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3401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2"/>
    <w:bookmarkStart w:id="36" w:name="table-des-principales-rencontres"/>
    <w:p>
      <w:pPr>
        <w:pStyle w:val="Titre2"/>
      </w:pPr>
      <w:r>
        <w:t xml:space="preserve">11.4 Table des principales</w:t>
      </w:r>
      <w:r>
        <w:t xml:space="preserve"> </w:t>
      </w:r>
      <w:r>
        <w:t xml:space="preserve">rencontres</w:t>
      </w:r>
    </w:p>
    <w:p>
      <w:pPr>
        <w:pStyle w:val="Figure"/>
      </w:pPr>
      <w:r>
        <w:drawing>
          <wp:inline>
            <wp:extent cx="5943600" cy="8494395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images/page-40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9439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6"/>
    <w:bookmarkStart w:id="41" w:name="table-aléatoire-des-lieux"/>
    <w:p>
      <w:pPr>
        <w:pStyle w:val="Titre2"/>
      </w:pPr>
      <w:r>
        <w:t xml:space="preserve">11.5 Table aléatoire des lieux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(N)</w:t>
      </w:r>
      <w:r>
        <w:t xml:space="preserve"> </w:t>
      </w:r>
      <w:r>
        <w:t xml:space="preserve">— Ces créatures sont entièrement ou</w:t>
      </w:r>
      <w:r>
        <w:t xml:space="preserve"> </w:t>
      </w:r>
      <w:r>
        <w:t xml:space="preserve">principalement</w:t>
      </w:r>
      <w:r>
        <w:t xml:space="preserve"> </w:t>
      </w:r>
      <w:r>
        <w:rPr>
          <w:bCs/>
          <w:b/>
        </w:rPr>
        <w:t xml:space="preserve">nocturnes</w:t>
      </w:r>
      <w:r>
        <w:t xml:space="preserve">. Si elles ne le sont que</w:t>
      </w:r>
      <w:r>
        <w:t xml:space="preserve"> </w:t>
      </w:r>
      <w:r>
        <w:t xml:space="preserve">principalement (Orques, Géants, Chauves-Souris), elles n’apparaîtront</w:t>
      </w:r>
      <w:r>
        <w:t xml:space="preserve"> </w:t>
      </w:r>
      <w:r>
        <w:t xml:space="preserve">qu’à 50% du temps pendant les heures diurnes et, bien sûr, jamais si</w:t>
      </w:r>
      <w:r>
        <w:t xml:space="preserve"> </w:t>
      </w:r>
      <w:r>
        <w:t xml:space="preserve">elles le sont entièrement. Bien évidemment, en souterrains, ces</w:t>
      </w:r>
      <w:r>
        <w:t xml:space="preserve"> </w:t>
      </w:r>
      <w:r>
        <w:t xml:space="preserve">restrictions ne s’appliquent pas.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*</w:t>
      </w:r>
      <w:r>
        <w:t xml:space="preserve"> </w:t>
      </w:r>
      <w:r>
        <w:t xml:space="preserve">— Les types spécifiques de</w:t>
      </w:r>
      <w:r>
        <w:t xml:space="preserve"> </w:t>
      </w:r>
      <w:r>
        <w:rPr>
          <w:bCs/>
          <w:b/>
        </w:rPr>
        <w:t xml:space="preserve">pièges</w:t>
      </w:r>
      <w:r>
        <w:t xml:space="preserve"> </w:t>
      </w:r>
      <w:r>
        <w:t xml:space="preserve">sont détaillés en 8.14. Certains pièges ne</w:t>
      </w:r>
      <w:r>
        <w:t xml:space="preserve"> </w:t>
      </w:r>
      <w:r>
        <w:t xml:space="preserve">seront pas fonctionnels, n’ayant pas été activés ou entretenus. Pour</w:t>
      </w:r>
      <w:r>
        <w:t xml:space="preserve"> </w:t>
      </w:r>
      <w:r>
        <w:t xml:space="preserve">chaque tranche de vingt ans (arrondir à l’inférieur) écoulée depuis la</w:t>
      </w:r>
      <w:r>
        <w:t xml:space="preserve"> </w:t>
      </w:r>
      <w:r>
        <w:t xml:space="preserve">dernière utilisation du piège, il y a 1% de chances que le piège ne</w:t>
      </w:r>
      <w:r>
        <w:t xml:space="preserve"> </w:t>
      </w:r>
      <w:r>
        <w:t xml:space="preserve">fonctionne pas alors qu’il aurait dû. Par exemple, si un piège n’a pas</w:t>
      </w:r>
      <w:r>
        <w:t xml:space="preserve"> </w:t>
      </w:r>
      <w:r>
        <w:t xml:space="preserve">servi pendant deux cents ans, il y aura 10% de chances qu’il ne se</w:t>
      </w:r>
      <w:r>
        <w:t xml:space="preserve"> </w:t>
      </w:r>
      <w:r>
        <w:t xml:space="preserve">déclenche pas. Il y aura toujours au moins 10% de chances qu’un piège</w:t>
      </w:r>
      <w:r>
        <w:t xml:space="preserve"> </w:t>
      </w:r>
      <w:r>
        <w:t xml:space="preserve">entre en action malgré sa vétusté. Un tel piège a toujours une chance</w:t>
      </w:r>
      <w:r>
        <w:t xml:space="preserve"> </w:t>
      </w:r>
      <w:r>
        <w:t xml:space="preserve">d’entrer en action à chaque fois que quelqu’un active le mécanisme de</w:t>
      </w:r>
      <w:r>
        <w:t xml:space="preserve"> </w:t>
      </w:r>
      <w:r>
        <w:t xml:space="preserve">déclenchement (ie. un piège pourrait ne pas s’activer lorsque la</w:t>
      </w:r>
      <w:r>
        <w:t xml:space="preserve"> </w:t>
      </w:r>
      <w:r>
        <w:t xml:space="preserve">première personne le déclenche mais pourrait s’activer plus tard). Le MJ</w:t>
      </w:r>
      <w:r>
        <w:t xml:space="preserve"> </w:t>
      </w:r>
      <w:r>
        <w:t xml:space="preserve">pourrait désirer assigner aux pièges une chance de ne pas être activés</w:t>
      </w:r>
      <w:r>
        <w:t xml:space="preserve"> </w:t>
      </w:r>
      <w:r>
        <w:t xml:space="preserve">(ie. non armé ou déjà déclenché auparavant) ; nous suggérons une chance,</w:t>
      </w:r>
      <w:r>
        <w:t xml:space="preserve"> </w:t>
      </w:r>
      <w:r>
        <w:t xml:space="preserve">tout compris, de 10-20%.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$</w:t>
      </w:r>
      <w:r>
        <w:t xml:space="preserve"> </w:t>
      </w:r>
      <w:r>
        <w:t xml:space="preserve">— Cela peut être des marmottes alpines, des</w:t>
      </w:r>
      <w:r>
        <w:t xml:space="preserve"> </w:t>
      </w:r>
      <w:r>
        <w:t xml:space="preserve">chevreuils, des lynx, des lapins, des écureuils roux, des blaireaux, des</w:t>
      </w:r>
      <w:r>
        <w:t xml:space="preserve"> </w:t>
      </w:r>
      <w:r>
        <w:t xml:space="preserve">hermines, des martres des pins, des renards rouges, des chiens, des</w:t>
      </w:r>
      <w:r>
        <w:t xml:space="preserve"> </w:t>
      </w:r>
      <w:r>
        <w:t xml:space="preserve">chats sauvages, etc., ou bien le MJ peut relancer ou, mieux encore,</w:t>
      </w:r>
      <w:r>
        <w:t xml:space="preserve"> </w:t>
      </w:r>
      <w:r>
        <w:t xml:space="preserve">déterminer le type et le nombre en se référant à une liste générale de</w:t>
      </w:r>
      <w:r>
        <w:t xml:space="preserve"> </w:t>
      </w:r>
      <w:r>
        <w:rPr>
          <w:bCs/>
          <w:b/>
        </w:rPr>
        <w:t xml:space="preserve">créatures</w:t>
      </w:r>
      <w:r>
        <w:t xml:space="preserve">, comme la Table TS-2 de JRTM (p. 93) ou les</w:t>
      </w:r>
      <w:r>
        <w:t xml:space="preserve"> </w:t>
      </w:r>
      <w:r>
        <w:t xml:space="preserve">Tables 11.52 et 11.62 du Manuel des Combats de Rolemaster. Si cela est</w:t>
      </w:r>
      <w:r>
        <w:t xml:space="preserve"> </w:t>
      </w:r>
      <w:r>
        <w:t xml:space="preserve">le cas, il doit lancer une première fois pour savoir s’il s’agit d’un</w:t>
      </w:r>
      <w:r>
        <w:t xml:space="preserve"> </w:t>
      </w:r>
      <w:r>
        <w:t xml:space="preserve">animal ou d’un monstre (par exemple, 01-80 — animal : 81-00 — monstre).</w:t>
      </w:r>
      <w:r>
        <w:t xml:space="preserve"> </w:t>
      </w:r>
      <w:r>
        <w:t xml:space="preserve">Puis il doit relancer et compter à partir du début de la liste pour</w:t>
      </w:r>
      <w:r>
        <w:t xml:space="preserve"> </w:t>
      </w:r>
      <w:r>
        <w:t xml:space="preserve">déterminer le type spécifique de la créature. Notez que certains types</w:t>
      </w:r>
      <w:r>
        <w:t xml:space="preserve"> </w:t>
      </w:r>
      <w:r>
        <w:t xml:space="preserve">(par exemple, les monstres d’un mythe n’appartenant pas aux Terres du</w:t>
      </w:r>
      <w:r>
        <w:t xml:space="preserve"> </w:t>
      </w:r>
      <w:r>
        <w:t xml:space="preserve">Milieu) peuvent être inadéquats et doivent entraîner un autre jet.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£</w:t>
      </w:r>
      <w:r>
        <w:t xml:space="preserve"> </w:t>
      </w:r>
      <w:r>
        <w:t xml:space="preserve">—</w:t>
      </w:r>
      <w:r>
        <w:t xml:space="preserve"> </w:t>
      </w:r>
      <w:r>
        <w:rPr>
          <w:bCs/>
          <w:b/>
        </w:rPr>
        <w:t xml:space="preserve">Peuple en général</w:t>
      </w:r>
      <w:r>
        <w:t xml:space="preserve"> </w:t>
      </w:r>
      <w:r>
        <w:t xml:space="preserve">signifie</w:t>
      </w:r>
      <w:r>
        <w:t xml:space="preserve"> </w:t>
      </w:r>
      <w:r>
        <w:t xml:space="preserve">qu’il s’agit de quelqu’un qui n’est ni vraiment important, ni vraiment</w:t>
      </w:r>
      <w:r>
        <w:t xml:space="preserve"> </w:t>
      </w:r>
      <w:r>
        <w:t xml:space="preserve">puissant. Cela peut comprendre les marchands itinérants, les soldats</w:t>
      </w:r>
      <w:r>
        <w:t xml:space="preserve"> </w:t>
      </w:r>
      <w:r>
        <w:t xml:space="preserve">sans affectation, les messagers, d’autres aventuriers, etc. Voyez la</w:t>
      </w:r>
      <w:r>
        <w:t xml:space="preserve"> </w:t>
      </w:r>
      <w:r>
        <w:t xml:space="preserve">Table des Principaux PNJ pour d’autres possibilités.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§</w:t>
      </w:r>
      <w:r>
        <w:t xml:space="preserve"> </w:t>
      </w:r>
      <w:r>
        <w:t xml:space="preserve">-</w:t>
      </w:r>
      <w:r>
        <w:t xml:space="preserve"> </w:t>
      </w:r>
      <w:r>
        <w:rPr>
          <w:bCs/>
          <w:b/>
        </w:rPr>
        <w:t xml:space="preserve">Orques Spéciaux</w:t>
      </w:r>
      <w:r>
        <w:t xml:space="preserve"> </w:t>
      </w:r>
      <w:r>
        <w:t xml:space="preserve">peut signifier</w:t>
      </w:r>
      <w:r>
        <w:t xml:space="preserve"> </w:t>
      </w:r>
      <w:r>
        <w:t xml:space="preserve">qu’il s’agit de groupes d’Orques menés par le Grand Gobelin ou par tout</w:t>
      </w:r>
      <w:r>
        <w:t xml:space="preserve"> </w:t>
      </w:r>
      <w:r>
        <w:t xml:space="preserve">autre PNJ de la sous-section 8.13 ou 8.23.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†</w:t>
      </w:r>
      <w:r>
        <w:t xml:space="preserve"> </w:t>
      </w:r>
      <w:r>
        <w:t xml:space="preserve">— Les</w:t>
      </w:r>
      <w:r>
        <w:t xml:space="preserve"> </w:t>
      </w:r>
      <w:r>
        <w:rPr>
          <w:bCs/>
          <w:b/>
        </w:rPr>
        <w:t xml:space="preserve">Autres créatures</w:t>
      </w:r>
      <w:r>
        <w:t xml:space="preserve"> </w:t>
      </w:r>
      <w:r>
        <w:t xml:space="preserve">sont en</w:t>
      </w:r>
      <w:r>
        <w:t xml:space="preserve"> </w:t>
      </w:r>
      <w:r>
        <w:t xml:space="preserve">général solitaires, fréquemment puissants et souvent, mais pas toujours,</w:t>
      </w:r>
      <w:r>
        <w:t xml:space="preserve"> </w:t>
      </w:r>
      <w:r>
        <w:t xml:space="preserve">mauvais. Cela peut être des magiciens, des seigneurs, des monstres, etc.</w:t>
      </w:r>
      <w:r>
        <w:t xml:space="preserve"> </w:t>
      </w:r>
      <w:r>
        <w:t xml:space="preserve">Le MJ peut relancer ou, mieux encore, construire une rencontre avec un</w:t>
      </w:r>
      <w:r>
        <w:t xml:space="preserve"> </w:t>
      </w:r>
      <w:r>
        <w:t xml:space="preserve">groupe unique ou un individu, tel qu’un personnage de la Table des</w:t>
      </w:r>
      <w:r>
        <w:t xml:space="preserve"> </w:t>
      </w:r>
      <w:r>
        <w:t xml:space="preserve">Principaux PNJ.</w:t>
      </w:r>
    </w:p>
    <w:p>
      <w:pPr>
        <w:pStyle w:val="Figure"/>
      </w:pPr>
      <w:r>
        <w:drawing>
          <wp:inline>
            <wp:extent cx="5943600" cy="8172450"/>
            <wp:effectExtent b="0" l="0" r="0" t="0"/>
            <wp:docPr descr="" title="" id="38" name="Picture"/>
            <a:graphic>
              <a:graphicData uri="http://schemas.openxmlformats.org/drawingml/2006/picture">
                <pic:pic>
                  <pic:nvPicPr>
                    <pic:cNvPr descr="images/page-41.png" id="39" name="Picture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40" w:name="utilisation-de-cette-table-et-codes"/>
    <w:p>
      <w:pPr>
        <w:pStyle w:val="Titre4"/>
      </w:pPr>
      <w:r>
        <w:t xml:space="preserve">Utilisation de cette table</w:t>
      </w:r>
      <w:r>
        <w:t xml:space="preserve"> </w:t>
      </w:r>
      <w:r>
        <w:t xml:space="preserve">et codes</w:t>
      </w:r>
    </w:p>
    <w:p>
      <w:pPr>
        <w:pStyle w:val="FirstParagraph"/>
      </w:pPr>
      <w:r>
        <w:t xml:space="preserve">La section 8.1 fournit les plans des passages et pièces principaux</w:t>
      </w:r>
      <w:r>
        <w:t xml:space="preserve"> </w:t>
      </w:r>
      <w:r>
        <w:t xml:space="preserve">avec leur légende. Les escaliers et routes transversales de connexion</w:t>
      </w:r>
      <w:r>
        <w:t xml:space="preserve"> </w:t>
      </w:r>
      <w:r>
        <w:t xml:space="preserve">les plus utilisés sont également représentés. Les plans des passages ne</w:t>
      </w:r>
      <w:r>
        <w:t xml:space="preserve"> </w:t>
      </w:r>
      <w:r>
        <w:t xml:space="preserve">montrent pas les pièces plus petites, ni les passages secondaires, ni</w:t>
      </w:r>
      <w:r>
        <w:t xml:space="preserve"> </w:t>
      </w:r>
      <w:r>
        <w:t xml:space="preserve">les phénomènes naturels. Cette table peut être utilisée pour déterminer</w:t>
      </w:r>
      <w:r>
        <w:t xml:space="preserve"> </w:t>
      </w:r>
      <w:r>
        <w:t xml:space="preserve">la localisation de ces lieux.</w:t>
      </w:r>
    </w:p>
    <w:p>
      <w:pPr>
        <w:pStyle w:val="Corpsdetexte"/>
      </w:pPr>
      <w:r>
        <w:t xml:space="preserve">Dans la Porte des Gobelins, un groupe se trouvera dans l’une des</w:t>
      </w:r>
      <w:r>
        <w:t xml:space="preserve"> </w:t>
      </w:r>
      <w:r>
        <w:t xml:space="preserve">quatre zones suivantes : un niveau de la Ville, les Cavernes de Glace,</w:t>
      </w:r>
      <w:r>
        <w:t xml:space="preserve"> </w:t>
      </w:r>
      <w:r>
        <w:t xml:space="preserve">les Cavernes aux Champignons et les Mines. De plus, ce groupe sera soit</w:t>
      </w:r>
      <w:r>
        <w:t xml:space="preserve"> </w:t>
      </w:r>
      <w:r>
        <w:t xml:space="preserve">dans un « Passage », soit dans un « Lieu Particulier » (une pièce, un</w:t>
      </w:r>
      <w:r>
        <w:t xml:space="preserve"> </w:t>
      </w:r>
      <w:r>
        <w:t xml:space="preserve">hall, une caverne, etc.). Ces deux types d’information déterminent</w:t>
      </w:r>
      <w:r>
        <w:t xml:space="preserve"> </w:t>
      </w:r>
      <w:r>
        <w:t xml:space="preserve">quelle colonne de la table sera utilisée.</w:t>
      </w:r>
    </w:p>
    <w:p>
      <w:pPr>
        <w:pStyle w:val="Corpsdetexte"/>
      </w:pPr>
      <w:r>
        <w:t xml:space="preserve">Le Maître de Jeu devrait régulièrement déterminer la colonne</w:t>
      </w:r>
      <w:r>
        <w:t xml:space="preserve"> </w:t>
      </w:r>
      <w:r>
        <w:t xml:space="preserve">appropriée et jeter le dé pour savoir si des lieux se présentent. Nous</w:t>
      </w:r>
      <w:r>
        <w:t xml:space="preserve"> </w:t>
      </w:r>
      <w:r>
        <w:t xml:space="preserve">suggérons d’effectuer chaque ensemble de jets de dé tous les 60 m dans</w:t>
      </w:r>
      <w:r>
        <w:t xml:space="preserve"> </w:t>
      </w:r>
      <w:r>
        <w:t xml:space="preserve">les Cavernes de Glace et les Cavernes aux Champignons et tous les 150 m</w:t>
      </w:r>
      <w:r>
        <w:t xml:space="preserve"> </w:t>
      </w:r>
      <w:r>
        <w:t xml:space="preserve">ailleurs. Les lieux devraient être générés jusqu’à ce que « Rien » ou un</w:t>
      </w:r>
      <w:r>
        <w:t xml:space="preserve"> </w:t>
      </w:r>
      <w:r>
        <w:t xml:space="preserve">changement de direction (marqué par «</w:t>
      </w:r>
      <w:r>
        <w:t xml:space="preserve"> </w:t>
      </w:r>
      <w:r>
        <w:rPr>
          <w:iCs/>
          <w:i/>
        </w:rPr>
        <w:t xml:space="preserve">+</w:t>
      </w:r>
      <w:r>
        <w:t xml:space="preserve"> </w:t>
      </w:r>
      <w:r>
        <w:t xml:space="preserve">») intervienne. Si plus</w:t>
      </w:r>
      <w:r>
        <w:t xml:space="preserve"> </w:t>
      </w:r>
      <w:r>
        <w:t xml:space="preserve">d’un lieu est obtenu, le MJ devrait distribuer leur localisation sur la</w:t>
      </w:r>
      <w:r>
        <w:t xml:space="preserve"> </w:t>
      </w:r>
      <w:r>
        <w:t xml:space="preserve">longueur couverte par le jet (60 m ou 150 m). Certains lieux</w:t>
      </w:r>
      <w:r>
        <w:t xml:space="preserve"> </w:t>
      </w:r>
      <w:r>
        <w:t xml:space="preserve">nécessiteront plusieurs jets pour être obtenus, comme il est spécifié</w:t>
      </w:r>
      <w:r>
        <w:t xml:space="preserve"> </w:t>
      </w:r>
      <w:r>
        <w:t xml:space="preserve">plus bas. Si certains résultats semblent inadéquats, ignorez-les ou</w:t>
      </w:r>
      <w:r>
        <w:t xml:space="preserve"> </w:t>
      </w:r>
      <w:r>
        <w:t xml:space="preserve">relancez le dé.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lors d’un déplacement dans un passage non</w:t>
      </w:r>
      <w:r>
        <w:t xml:space="preserve"> </w:t>
      </w:r>
      <w:r>
        <w:t xml:space="preserve">représenté sur le plan, ce passage est considéré progresser en fonction</w:t>
      </w:r>
      <w:r>
        <w:t xml:space="preserve"> </w:t>
      </w:r>
      <w:r>
        <w:t xml:space="preserve">de la dernière direction donnée (ie. rectiligne, tourne, s’incline)</w:t>
      </w:r>
      <w:r>
        <w:t xml:space="preserve"> </w:t>
      </w:r>
      <w:r>
        <w:t xml:space="preserve">jusqu’à ce qu’un résultat indique que la direction change ou qu’un lieu</w:t>
      </w:r>
      <w:r>
        <w:t xml:space="preserve"> </w:t>
      </w:r>
      <w:r>
        <w:t xml:space="preserve">sur le plan est atteint.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cette table sert à déterminer quelles</w:t>
      </w:r>
      <w:r>
        <w:t xml:space="preserve"> </w:t>
      </w:r>
      <w:r>
        <w:t xml:space="preserve">structures et lieux se trouvent dans un certain passage. Lors de cette</w:t>
      </w:r>
      <w:r>
        <w:t xml:space="preserve"> </w:t>
      </w:r>
      <w:r>
        <w:t xml:space="preserve">procédure, le MJ devrait noter les structures générées aléatoirement</w:t>
      </w:r>
      <w:r>
        <w:t xml:space="preserve"> </w:t>
      </w:r>
      <w:r>
        <w:t xml:space="preserve">afin de les réutiliser si les personnages retournent dans les zones déjà</w:t>
      </w:r>
      <w:r>
        <w:t xml:space="preserve"> </w:t>
      </w:r>
      <w:r>
        <w:t xml:space="preserve">explorées. Rappelez-vous que la Porte des Gobelins est si grande qu’elle</w:t>
      </w:r>
      <w:r>
        <w:t xml:space="preserve"> </w:t>
      </w:r>
      <w:r>
        <w:t xml:space="preserve">ne pourrait être complètement détaillée ; cette table a été conçue afin</w:t>
      </w:r>
      <w:r>
        <w:t xml:space="preserve"> </w:t>
      </w:r>
      <w:r>
        <w:t xml:space="preserve">de permettre aux MJ de gérer la Porte des Gobelins dans un environnement</w:t>
      </w:r>
      <w:r>
        <w:t xml:space="preserve"> </w:t>
      </w:r>
      <w:r>
        <w:t xml:space="preserve">de jeu de rôle d’aventures fantastiques.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Spécial</w:t>
      </w:r>
      <w:r>
        <w:t xml:space="preserve"> </w:t>
      </w:r>
      <w:r>
        <w:t xml:space="preserve">— Lorsqu’un tel résultat est obtenu, le MJ</w:t>
      </w:r>
      <w:r>
        <w:t xml:space="preserve"> </w:t>
      </w:r>
      <w:r>
        <w:t xml:space="preserve">pourra soit se servir d’une structure ou d’un lieu inusuel, soit</w:t>
      </w:r>
      <w:r>
        <w:t xml:space="preserve"> </w:t>
      </w:r>
      <w:r>
        <w:t xml:space="preserve">utiliser un lieu normalement rencontré ailleurs que dans cet endroit,</w:t>
      </w:r>
      <w:r>
        <w:t xml:space="preserve"> </w:t>
      </w:r>
      <w:r>
        <w:t xml:space="preserve">soit ignorer le résultat spécial et relancer le dé.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*</w:t>
      </w:r>
      <w:r>
        <w:t xml:space="preserve"> </w:t>
      </w:r>
      <w:r>
        <w:t xml:space="preserve">— Ces lieux nécessitent des jets de dé</w:t>
      </w:r>
      <w:r>
        <w:t xml:space="preserve"> </w:t>
      </w:r>
      <w:r>
        <w:t xml:space="preserve">supplémentaires sur la colonne appropriée « Lieu Particulier » jusqu’à</w:t>
      </w:r>
      <w:r>
        <w:t xml:space="preserve"> </w:t>
      </w:r>
      <w:r>
        <w:t xml:space="preserve">ce qu’un résultat « Rien » soit obtenu.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§</w:t>
      </w:r>
      <w:r>
        <w:t xml:space="preserve"> </w:t>
      </w:r>
      <w:r>
        <w:t xml:space="preserve">— Ces structures, habituellement, montent ou</w:t>
      </w:r>
      <w:r>
        <w:t xml:space="preserve"> </w:t>
      </w:r>
      <w:r>
        <w:t xml:space="preserve">descendent seulement sur un ou deux niveaux ; considérez, dans l’ordre</w:t>
      </w:r>
      <w:r>
        <w:t xml:space="preserve"> </w:t>
      </w:r>
      <w:r>
        <w:t xml:space="preserve">descendant, les Cavernes de Glace comme le niveau le plus haut, puis les</w:t>
      </w:r>
      <w:r>
        <w:t xml:space="preserve"> </w:t>
      </w:r>
      <w:r>
        <w:t xml:space="preserve">trois niveaux de la ville, ensuite le niveau des Cavernes aux</w:t>
      </w:r>
      <w:r>
        <w:t xml:space="preserve"> </w:t>
      </w:r>
      <w:r>
        <w:t xml:space="preserve">Champignons et enfin le dernier niveau des Mines. Faites un jet de dé</w:t>
      </w:r>
      <w:r>
        <w:t xml:space="preserve"> </w:t>
      </w:r>
      <w:r>
        <w:t xml:space="preserve">comme suit pour déterminer leur étendue :</w:t>
      </w:r>
    </w:p>
    <w:p>
      <w:pPr>
        <w:numPr>
          <w:ilvl w:val="1"/>
          <w:numId w:val="1004"/>
        </w:numPr>
        <w:pStyle w:val="Compact"/>
      </w:pPr>
      <w:r>
        <w:t xml:space="preserve">01-45 : monte d’un niveau ;</w:t>
      </w:r>
    </w:p>
    <w:p>
      <w:pPr>
        <w:numPr>
          <w:ilvl w:val="1"/>
          <w:numId w:val="1004"/>
        </w:numPr>
        <w:pStyle w:val="Compact"/>
      </w:pPr>
      <w:r>
        <w:t xml:space="preserve">46-90 : descend d’un niveau ;</w:t>
      </w:r>
    </w:p>
    <w:p>
      <w:pPr>
        <w:numPr>
          <w:ilvl w:val="1"/>
          <w:numId w:val="1004"/>
        </w:numPr>
        <w:pStyle w:val="Compact"/>
      </w:pPr>
      <w:r>
        <w:t xml:space="preserve">91-96 : monte d’un niveau et descend d’un niveau ;</w:t>
      </w:r>
    </w:p>
    <w:p>
      <w:pPr>
        <w:numPr>
          <w:ilvl w:val="1"/>
          <w:numId w:val="1004"/>
        </w:numPr>
        <w:pStyle w:val="Compact"/>
      </w:pPr>
      <w:r>
        <w:t xml:space="preserve">97-98 : monte de deux niveaux ;</w:t>
      </w:r>
    </w:p>
    <w:p>
      <w:pPr>
        <w:numPr>
          <w:ilvl w:val="1"/>
          <w:numId w:val="1004"/>
        </w:numPr>
        <w:pStyle w:val="Compact"/>
      </w:pPr>
      <w:r>
        <w:t xml:space="preserve">99-00 : descend de deux niveaux.Ignorez tout résultat qui ferait</w:t>
      </w:r>
      <w:r>
        <w:t xml:space="preserve"> </w:t>
      </w:r>
      <w:r>
        <w:t xml:space="preserve">aller plus haut que les Cavernes de Glace ou descendre plus bas que les</w:t>
      </w:r>
      <w:r>
        <w:t xml:space="preserve"> </w:t>
      </w:r>
      <w:r>
        <w:t xml:space="preserve">Mines.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¶</w:t>
      </w:r>
      <w:r>
        <w:t xml:space="preserve"> </w:t>
      </w:r>
      <w:r>
        <w:t xml:space="preserve">- Un deuxième jet de dé est requis pour</w:t>
      </w:r>
      <w:r>
        <w:t xml:space="preserve"> </w:t>
      </w:r>
      <w:r>
        <w:t xml:space="preserve">déterminer la direction de ce passage de jonction qui fait un croisement</w:t>
      </w:r>
      <w:r>
        <w:t xml:space="preserve"> </w:t>
      </w:r>
      <w:r>
        <w:t xml:space="preserve">soit en Y soit en X :</w:t>
      </w:r>
    </w:p>
    <w:p>
      <w:pPr>
        <w:numPr>
          <w:ilvl w:val="1"/>
          <w:numId w:val="1005"/>
        </w:numPr>
        <w:pStyle w:val="Compact"/>
      </w:pPr>
      <w:r>
        <w:t xml:space="preserve">01-40 : vers la gauche ;</w:t>
      </w:r>
    </w:p>
    <w:p>
      <w:pPr>
        <w:numPr>
          <w:ilvl w:val="1"/>
          <w:numId w:val="1005"/>
        </w:numPr>
        <w:pStyle w:val="Compact"/>
      </w:pPr>
      <w:r>
        <w:t xml:space="preserve">41-80 : vers la droite ;</w:t>
      </w:r>
    </w:p>
    <w:p>
      <w:pPr>
        <w:numPr>
          <w:ilvl w:val="1"/>
          <w:numId w:val="1005"/>
        </w:numPr>
        <w:pStyle w:val="Compact"/>
      </w:pPr>
      <w:r>
        <w:t xml:space="preserve">81-00 : vers la gauche et la droite. Un jet est aussi requis pour</w:t>
      </w:r>
      <w:r>
        <w:t xml:space="preserve"> </w:t>
      </w:r>
      <w:r>
        <w:t xml:space="preserve">déterminer l’inclinaison de chaque passage :</w:t>
      </w:r>
    </w:p>
    <w:p>
      <w:pPr>
        <w:numPr>
          <w:ilvl w:val="1"/>
          <w:numId w:val="1005"/>
        </w:numPr>
        <w:pStyle w:val="Compact"/>
      </w:pPr>
      <w:r>
        <w:t xml:space="preserve">01-90 : reste de niveau ;</w:t>
      </w:r>
    </w:p>
    <w:p>
      <w:pPr>
        <w:numPr>
          <w:ilvl w:val="1"/>
          <w:numId w:val="1005"/>
        </w:numPr>
        <w:pStyle w:val="Compact"/>
      </w:pPr>
      <w:r>
        <w:t xml:space="preserve">91-95 : en pente descendante ;</w:t>
      </w:r>
    </w:p>
    <w:p>
      <w:pPr>
        <w:numPr>
          <w:ilvl w:val="1"/>
          <w:numId w:val="1005"/>
        </w:numPr>
        <w:pStyle w:val="Compact"/>
      </w:pPr>
      <w:r>
        <w:t xml:space="preserve">96-00 : en pente montante.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Ω</w:t>
      </w:r>
      <w:r>
        <w:t xml:space="preserve"> </w:t>
      </w:r>
      <w:r>
        <w:t xml:space="preserve">— Quand une chambre de jonction est rencontrée,</w:t>
      </w:r>
      <w:r>
        <w:t xml:space="preserve"> </w:t>
      </w:r>
      <w:r>
        <w:t xml:space="preserve">faites un jet comme suit pour déterminer le nombre de passages y</w:t>
      </w:r>
      <w:r>
        <w:t xml:space="preserve"> </w:t>
      </w:r>
      <w:r>
        <w:t xml:space="preserve">débouchant :</w:t>
      </w:r>
    </w:p>
    <w:p>
      <w:pPr>
        <w:numPr>
          <w:ilvl w:val="1"/>
          <w:numId w:val="1006"/>
        </w:numPr>
        <w:pStyle w:val="Compact"/>
      </w:pPr>
      <w:r>
        <w:t xml:space="preserve">01-35 : trois ;</w:t>
      </w:r>
    </w:p>
    <w:p>
      <w:pPr>
        <w:numPr>
          <w:ilvl w:val="1"/>
          <w:numId w:val="1006"/>
        </w:numPr>
        <w:pStyle w:val="Compact"/>
      </w:pPr>
      <w:r>
        <w:t xml:space="preserve">36-85 : quatre ;</w:t>
      </w:r>
    </w:p>
    <w:p>
      <w:pPr>
        <w:numPr>
          <w:ilvl w:val="1"/>
          <w:numId w:val="1006"/>
        </w:numPr>
        <w:pStyle w:val="Compact"/>
      </w:pPr>
      <w:r>
        <w:t xml:space="preserve">86-95 : cinq ;</w:t>
      </w:r>
    </w:p>
    <w:p>
      <w:pPr>
        <w:numPr>
          <w:ilvl w:val="1"/>
          <w:numId w:val="1006"/>
        </w:numPr>
        <w:pStyle w:val="Compact"/>
      </w:pPr>
      <w:r>
        <w:t xml:space="preserve">96-00 : six.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†</w:t>
      </w:r>
      <w:r>
        <w:t xml:space="preserve"> </w:t>
      </w:r>
      <w:r>
        <w:t xml:space="preserve">- Ces résultats indiquent un changement de</w:t>
      </w:r>
      <w:r>
        <w:t xml:space="preserve"> </w:t>
      </w:r>
      <w:r>
        <w:t xml:space="preserve">direction qui (ainsi que le résultat « Rien ») arrêtent le processus de</w:t>
      </w:r>
      <w:r>
        <w:t xml:space="preserve"> </w:t>
      </w:r>
      <w:r>
        <w:t xml:space="preserve">génération de lieu pour une section donnée du passage. Si le passage</w:t>
      </w:r>
      <w:r>
        <w:t xml:space="preserve"> </w:t>
      </w:r>
      <w:r>
        <w:t xml:space="preserve">étant traversé est représenté sur les plans des passages, ignorez le</w:t>
      </w:r>
      <w:r>
        <w:t xml:space="preserve"> </w:t>
      </w:r>
      <w:r>
        <w:t xml:space="preserve">résultat et faites un nouveau jet.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‡</w:t>
      </w:r>
      <w:r>
        <w:t xml:space="preserve"> </w:t>
      </w:r>
      <w:r>
        <w:t xml:space="preserve">- Faites un jet pour déterminer la présence de</w:t>
      </w:r>
      <w:r>
        <w:t xml:space="preserve"> </w:t>
      </w:r>
      <w:r>
        <w:t xml:space="preserve">ponts ou d’aqueducs :</w:t>
      </w:r>
    </w:p>
    <w:p>
      <w:pPr>
        <w:numPr>
          <w:ilvl w:val="1"/>
          <w:numId w:val="1007"/>
        </w:numPr>
        <w:pStyle w:val="Compact"/>
      </w:pPr>
      <w:r>
        <w:t xml:space="preserve">01-20 : aucun ;</w:t>
      </w:r>
    </w:p>
    <w:p>
      <w:pPr>
        <w:numPr>
          <w:ilvl w:val="1"/>
          <w:numId w:val="1007"/>
        </w:numPr>
        <w:pStyle w:val="Compact"/>
      </w:pPr>
      <w:r>
        <w:t xml:space="preserve">21-50 : cordes et planches ;</w:t>
      </w:r>
    </w:p>
    <w:p>
      <w:pPr>
        <w:numPr>
          <w:ilvl w:val="1"/>
          <w:numId w:val="1007"/>
        </w:numPr>
        <w:pStyle w:val="Compact"/>
      </w:pPr>
      <w:r>
        <w:t xml:space="preserve">51-80 : pont en pierre à arches fixe ;</w:t>
      </w:r>
    </w:p>
    <w:p>
      <w:pPr>
        <w:numPr>
          <w:ilvl w:val="1"/>
          <w:numId w:val="1007"/>
        </w:numPr>
        <w:pStyle w:val="Compact"/>
      </w:pPr>
      <w:r>
        <w:t xml:space="preserve">81-90 : pont en fer fixe ;</w:t>
      </w:r>
    </w:p>
    <w:p>
      <w:pPr>
        <w:numPr>
          <w:ilvl w:val="1"/>
          <w:numId w:val="1007"/>
        </w:numPr>
        <w:pStyle w:val="Compact"/>
      </w:pPr>
      <w:r>
        <w:t xml:space="preserve">91-98 : aqueduc ;</w:t>
      </w:r>
    </w:p>
    <w:p>
      <w:pPr>
        <w:numPr>
          <w:ilvl w:val="1"/>
          <w:numId w:val="1007"/>
        </w:numPr>
        <w:pStyle w:val="Compact"/>
      </w:pPr>
      <w:r>
        <w:t xml:space="preserve">99-00 : pont-levis en bois. La présence d’autres particularités peut</w:t>
      </w:r>
      <w:r>
        <w:t xml:space="preserve"> </w:t>
      </w:r>
      <w:r>
        <w:t xml:space="preserve">être déterminée en faisant des jets supplémentaires jusqu’à ce qu’un</w:t>
      </w:r>
      <w:r>
        <w:t xml:space="preserve"> </w:t>
      </w:r>
      <w:r>
        <w:t xml:space="preserve">résultat « Rien » soit obtenu :</w:t>
      </w:r>
    </w:p>
    <w:p>
      <w:pPr>
        <w:numPr>
          <w:ilvl w:val="1"/>
          <w:numId w:val="1007"/>
        </w:numPr>
        <w:pStyle w:val="Compact"/>
      </w:pPr>
      <w:r>
        <w:t xml:space="preserve">01-45 : rien ;</w:t>
      </w:r>
    </w:p>
    <w:p>
      <w:pPr>
        <w:numPr>
          <w:ilvl w:val="1"/>
          <w:numId w:val="1007"/>
        </w:numPr>
        <w:pStyle w:val="Compact"/>
      </w:pPr>
      <w:r>
        <w:t xml:space="preserve">46-65 : escalier escarpé montant ;</w:t>
      </w:r>
    </w:p>
    <w:p>
      <w:pPr>
        <w:numPr>
          <w:ilvl w:val="1"/>
          <w:numId w:val="1007"/>
        </w:numPr>
        <w:pStyle w:val="Compact"/>
      </w:pPr>
      <w:r>
        <w:t xml:space="preserve">66-85 : escalier escarpé descendant ;</w:t>
      </w:r>
    </w:p>
    <w:p>
      <w:pPr>
        <w:numPr>
          <w:ilvl w:val="1"/>
          <w:numId w:val="1007"/>
        </w:numPr>
        <w:pStyle w:val="Compact"/>
      </w:pPr>
      <w:r>
        <w:t xml:space="preserve">86-90 : chemin partant vers la gauche ;</w:t>
      </w:r>
    </w:p>
    <w:p>
      <w:pPr>
        <w:numPr>
          <w:ilvl w:val="1"/>
          <w:numId w:val="1007"/>
        </w:numPr>
        <w:pStyle w:val="Compact"/>
      </w:pPr>
      <w:r>
        <w:t xml:space="preserve">91-95 : chemin partant vers la droite ;</w:t>
      </w:r>
    </w:p>
    <w:p>
      <w:pPr>
        <w:numPr>
          <w:ilvl w:val="1"/>
          <w:numId w:val="1007"/>
        </w:numPr>
        <w:pStyle w:val="Compact"/>
      </w:pPr>
      <w:r>
        <w:t xml:space="preserve">96-98 : chemin partant de chaque côté ;</w:t>
      </w:r>
    </w:p>
    <w:p>
      <w:pPr>
        <w:numPr>
          <w:ilvl w:val="1"/>
          <w:numId w:val="1007"/>
        </w:numPr>
        <w:pStyle w:val="Compact"/>
      </w:pPr>
      <w:r>
        <w:t xml:space="preserve">99 : plan incliné vers le bas ;</w:t>
      </w:r>
    </w:p>
    <w:p>
      <w:pPr>
        <w:numPr>
          <w:ilvl w:val="1"/>
          <w:numId w:val="1007"/>
        </w:numPr>
        <w:pStyle w:val="Compact"/>
      </w:pPr>
      <w:r>
        <w:t xml:space="preserve">00 : plan incliné vers le haut. Si certains résultats semblent</w:t>
      </w:r>
      <w:r>
        <w:t xml:space="preserve"> </w:t>
      </w:r>
      <w:r>
        <w:t xml:space="preserve">inadéquats, ignorez-les et refaites les jets.</w:t>
      </w:r>
    </w:p>
    <w:bookmarkEnd w:id="40"/>
    <w:bookmarkEnd w:id="41"/>
    <w:bookmarkEnd w:id="42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1" Target="media/rId21.png" /><Relationship Type="http://schemas.openxmlformats.org/officeDocument/2006/relationships/image" Id="rId25" Target="media/rId25.png" /><Relationship Type="http://schemas.openxmlformats.org/officeDocument/2006/relationships/image" Id="rId29" Target="media/rId29.png" /><Relationship Type="http://schemas.openxmlformats.org/officeDocument/2006/relationships/image" Id="rId33" Target="media/rId33.png" /><Relationship Type="http://schemas.openxmlformats.org/officeDocument/2006/relationships/image" Id="rId37" Target="media/rId37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11 · Tables</dc:title>
  <dc:creator/>
  <dc:language/>
  <cp:keywords/>
  <dcterms:created xsi:type="dcterms:W3CDTF">2023-11-27T09:46:56Z</dcterms:created>
  <dcterms:modified xsi:type="dcterms:W3CDTF">2023-11-27T09:46:56Z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